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line="264" w:lineRule="auto" w:before="80"/>
        <w:jc w:val="right"/>
        <w:bidi/>
      </w:pPr>
      <w:r>
        <w:rPr>
          <w:rFonts w:ascii="Arial" w:hAnsi="Arial" w:cs="Arial"/>
          <w:b/>
          <w:color w:val="B08730"/>
          <w:sz w:val="20"/>
        </w:rPr>
        <w:t>Municipality of Zahle</w:t>
      </w:r>
    </w:p>
    <w:p>
      <w:pPr>
        <w:spacing w:after="160" w:line="252" w:lineRule="auto"/>
        <w:jc w:val="right"/>
        <w:bidi/>
      </w:pPr>
      <w:r>
        <w:rPr>
          <w:rFonts w:ascii="Arial" w:hAnsi="Arial" w:cs="Arial"/>
          <w:b/>
          <w:color w:val="163B66"/>
          <w:sz w:val="48"/>
        </w:rPr>
        <w:t>إصدارات المجلس البلدي الرسمية</w:t>
      </w:r>
    </w:p>
    <w:p>
      <w:pPr>
        <w:spacing w:after="280" w:line="300" w:lineRule="auto"/>
        <w:jc w:val="right"/>
        <w:bidi/>
      </w:pPr>
      <w:r>
        <w:rPr>
          <w:rFonts w:ascii="Arial" w:hAnsi="Arial" w:cs="Arial"/>
          <w:b w:val="0"/>
          <w:color w:val="5D6A80"/>
          <w:sz w:val="23"/>
        </w:rPr>
        <w:t>نموذج تجريبي لإصدار رسمي يتضمن ملخصات القرارات والملفات المنشورة خلال الربع الحالي.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fill="F2F4F7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الحالة</w:t>
              <w:br/>
              <w:t>مسودة تجريبية</w:t>
            </w:r>
          </w:p>
        </w:tc>
        <w:tc>
          <w:tcPr>
            <w:tcW w:type="dxa" w:w="3264"/>
            <w:shd w:fill="F2F4F7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التاريخ</w:t>
              <w:br/>
              <w:t>18 حزيران 2026</w:t>
            </w:r>
          </w:p>
        </w:tc>
        <w:tc>
          <w:tcPr>
            <w:tcW w:type="dxa" w:w="3264"/>
            <w:shd w:fill="F2F4F7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المرجع</w:t>
              <w:br/>
              <w:t>ZMC-REL-2026-001</w:t>
            </w:r>
          </w:p>
        </w:tc>
      </w:tr>
    </w:tbl>
    <w:p/>
    <w:p>
      <w:pPr>
        <w:spacing w:after="80" w:line="264" w:lineRule="auto" w:before="160"/>
        <w:jc w:val="right"/>
        <w:bidi/>
      </w:pPr>
      <w:r>
        <w:rPr>
          <w:rFonts w:ascii="Arial" w:hAnsi="Arial" w:cs="Arial"/>
          <w:b/>
          <w:color w:val="163B66"/>
          <w:sz w:val="28"/>
        </w:rPr>
        <w:t>ملخص الإصدار</w:t>
      </w:r>
    </w:p>
    <w:p>
      <w:pPr>
        <w:spacing w:after="140" w:line="264" w:lineRule="auto"/>
        <w:jc w:val="right"/>
        <w:bidi/>
      </w:pPr>
      <w:r>
        <w:rPr>
          <w:rFonts w:ascii="Arial" w:hAnsi="Arial" w:cs="Arial"/>
          <w:b w:val="0"/>
          <w:color w:val="222D46"/>
          <w:sz w:val="22"/>
        </w:rPr>
        <w:t>يتضمن هذا الإصدار عرضا موجزا للملفات البلدية المنشورة حديثا، مع توضيح الغاية من كل ملف وآلية متابعة المراجعات.</w:t>
      </w:r>
    </w:p>
    <w:p>
      <w:pPr>
        <w:spacing w:after="80" w:line="264" w:lineRule="auto" w:before="160"/>
        <w:jc w:val="right"/>
        <w:bidi/>
      </w:pPr>
      <w:r>
        <w:rPr>
          <w:rFonts w:ascii="Arial" w:hAnsi="Arial" w:cs="Arial"/>
          <w:b/>
          <w:color w:val="163B66"/>
          <w:sz w:val="28"/>
        </w:rPr>
        <w:t>نطاق النشر</w:t>
      </w:r>
    </w:p>
    <w:p>
      <w:pPr>
        <w:spacing w:after="140" w:line="264" w:lineRule="auto"/>
        <w:jc w:val="right"/>
        <w:bidi/>
      </w:pPr>
      <w:r>
        <w:rPr>
          <w:rFonts w:ascii="Arial" w:hAnsi="Arial" w:cs="Arial"/>
          <w:b w:val="0"/>
          <w:color w:val="222D46"/>
          <w:sz w:val="22"/>
        </w:rPr>
        <w:t>يشمل الإصدار بيانات تنظيمية، تقارير متابعة، ونماذج إدارية موجهة للمواطنين والجهات المعنية.</w:t>
      </w:r>
    </w:p>
    <w:p>
      <w:pPr>
        <w:spacing w:after="80" w:line="264" w:lineRule="auto" w:before="160"/>
        <w:jc w:val="right"/>
        <w:bidi/>
      </w:pPr>
      <w:r>
        <w:rPr>
          <w:rFonts w:ascii="Arial" w:hAnsi="Arial" w:cs="Arial"/>
          <w:b/>
          <w:color w:val="163B66"/>
          <w:sz w:val="28"/>
        </w:rPr>
        <w:t>ملاحظات عامة</w:t>
      </w:r>
    </w:p>
    <w:p>
      <w:pPr>
        <w:spacing w:after="140" w:line="264" w:lineRule="auto"/>
        <w:jc w:val="right"/>
        <w:bidi/>
      </w:pPr>
      <w:r>
        <w:rPr>
          <w:rFonts w:ascii="Arial" w:hAnsi="Arial" w:cs="Arial"/>
          <w:b w:val="0"/>
          <w:color w:val="222D46"/>
          <w:sz w:val="22"/>
        </w:rPr>
        <w:t>هذه نسخة تجريبية مخصصة لاختبار صفحة الإصدارات والتحميلات على الموقع الإلكتروني.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fill="163B66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/>
                <w:color w:val="FFFFFF"/>
                <w:sz w:val="21"/>
              </w:rPr>
              <w:t>ملاحظات</w:t>
            </w:r>
          </w:p>
        </w:tc>
        <w:tc>
          <w:tcPr>
            <w:tcW w:type="dxa" w:w="3264"/>
            <w:shd w:fill="163B66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/>
                <w:color w:val="FFFFFF"/>
                <w:sz w:val="21"/>
              </w:rPr>
              <w:t>القيمة</w:t>
            </w:r>
          </w:p>
        </w:tc>
        <w:tc>
          <w:tcPr>
            <w:tcW w:type="dxa" w:w="3264"/>
            <w:shd w:fill="163B66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/>
                <w:color w:val="FFFFFF"/>
                <w:sz w:val="21"/>
              </w:rPr>
              <w:t>البند</w:t>
            </w:r>
          </w:p>
        </w:tc>
      </w:tr>
      <w:tr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تعريف داخلي للملف التجريبي</w:t>
            </w:r>
          </w:p>
        </w:tc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ZMC-REL-2026-001</w:t>
            </w:r>
          </w:p>
        </w:tc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رقم المرجع</w:t>
            </w:r>
          </w:p>
        </w:tc>
      </w:tr>
      <w:tr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تاريخ مخصص للاختبار</w:t>
            </w:r>
          </w:p>
        </w:tc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18 حزيران 2026</w:t>
            </w:r>
          </w:p>
        </w:tc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تاريخ النشر</w:t>
            </w:r>
          </w:p>
        </w:tc>
      </w:tr>
      <w:tr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غير مخصص للاعتماد الرسمي</w:t>
            </w:r>
          </w:p>
        </w:tc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تجريبي</w:t>
            </w:r>
          </w:p>
        </w:tc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حالة المستند</w:t>
            </w:r>
          </w:p>
        </w:tc>
      </w:tr>
      <w:tr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قابل للتعديل حسب الحاجة</w:t>
            </w:r>
          </w:p>
        </w:tc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المجلس البلدي</w:t>
            </w:r>
          </w:p>
        </w:tc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القسم المعني</w:t>
            </w:r>
          </w:p>
        </w:tc>
      </w:tr>
    </w:tbl>
    <w:p>
      <w:pPr>
        <w:spacing w:after="0" w:line="264" w:lineRule="auto" w:before="240"/>
        <w:jc w:val="right"/>
        <w:bidi/>
      </w:pPr>
      <w:r>
        <w:rPr>
          <w:rFonts w:ascii="Arial" w:hAnsi="Arial" w:cs="Arial"/>
          <w:b w:val="0"/>
          <w:color w:val="5D6A80"/>
          <w:sz w:val="19"/>
        </w:rPr>
        <w:t>ملاحظة: هذا المستند يحتوي على بيانات تجريبية لاستخدامها في اختبار الموقع فقط.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cs="Arial"/>
        <w:color w:val="5D6A80"/>
        <w:sz w:val="18"/>
      </w:rPr>
      <w:t>Generated for website testing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cs="Arial"/>
        <w:color w:val="5D6A80"/>
        <w:sz w:val="18"/>
      </w:rPr>
      <w:t>Municipality of Zahle - Mock Document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