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64" w:lineRule="auto" w:before="80"/>
        <w:jc w:val="right"/>
        <w:bidi/>
      </w:pPr>
      <w:r>
        <w:rPr>
          <w:rFonts w:ascii="Arial" w:hAnsi="Arial" w:cs="Arial"/>
          <w:b/>
          <w:color w:val="B08730"/>
          <w:sz w:val="20"/>
        </w:rPr>
        <w:t>Municipality of Zahle</w:t>
      </w:r>
    </w:p>
    <w:p>
      <w:pPr>
        <w:spacing w:after="160" w:line="252" w:lineRule="auto"/>
        <w:jc w:val="right"/>
        <w:bidi/>
      </w:pPr>
      <w:r>
        <w:rPr>
          <w:rFonts w:ascii="Arial" w:hAnsi="Arial" w:cs="Arial"/>
          <w:b/>
          <w:color w:val="163B66"/>
          <w:sz w:val="48"/>
        </w:rPr>
        <w:t>بيانات وقرارات المجلس البلدي</w:t>
      </w:r>
    </w:p>
    <w:p>
      <w:pPr>
        <w:spacing w:after="280" w:line="300" w:lineRule="auto"/>
        <w:jc w:val="right"/>
        <w:bidi/>
      </w:pPr>
      <w:r>
        <w:rPr>
          <w:rFonts w:ascii="Arial" w:hAnsi="Arial" w:cs="Arial"/>
          <w:b w:val="0"/>
          <w:color w:val="5D6A80"/>
          <w:sz w:val="23"/>
        </w:rPr>
        <w:t>نموذج تجريبي لصفحة قرارات وبيانات تتضمن بنودا مختصرة وحالة التنفيذ.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الحالة</w:t>
              <w:br/>
              <w:t>مسودة تجريبية</w:t>
            </w:r>
          </w:p>
        </w:tc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التاريخ</w:t>
              <w:br/>
              <w:t>18 حزيران 2026</w:t>
            </w:r>
          </w:p>
        </w:tc>
        <w:tc>
          <w:tcPr>
            <w:tcW w:type="dxa" w:w="3264"/>
            <w:shd w:fill="F2F4F7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المرجع</w:t>
              <w:br/>
              <w:t>ZMC-DEC-2026-007</w:t>
            </w:r>
          </w:p>
        </w:tc>
      </w:tr>
    </w:tbl>
    <w:p/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بيان موجز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صدر عن المجلس البلدي هذا النموذج التجريبي لتوضيح شكل عرض البيانات والقرارات على الموقع.</w:t>
      </w:r>
    </w:p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بنود القرار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تتضمن البنود متابعة أعمال الصيانة، تنظيم ملفات الخدمات، وتحديث آلية نشر المستندات الرسمية.</w:t>
      </w:r>
    </w:p>
    <w:p>
      <w:pPr>
        <w:spacing w:after="80" w:line="264" w:lineRule="auto" w:before="160"/>
        <w:jc w:val="right"/>
        <w:bidi/>
      </w:pPr>
      <w:r>
        <w:rPr>
          <w:rFonts w:ascii="Arial" w:hAnsi="Arial" w:cs="Arial"/>
          <w:b/>
          <w:color w:val="163B66"/>
          <w:sz w:val="28"/>
        </w:rPr>
        <w:t>حالة التنفيذ</w:t>
      </w:r>
    </w:p>
    <w:p>
      <w:pPr>
        <w:spacing w:after="140" w:line="264" w:lineRule="auto"/>
        <w:jc w:val="right"/>
        <w:bidi/>
      </w:pPr>
      <w:r>
        <w:rPr>
          <w:rFonts w:ascii="Arial" w:hAnsi="Arial" w:cs="Arial"/>
          <w:b w:val="0"/>
          <w:color w:val="222D46"/>
          <w:sz w:val="22"/>
        </w:rPr>
        <w:t>قيد المتابعة، على أن يتم نشر أي تحديثات لاحقة ضمن صفحة الإصدارات الرسمية.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حالة المتابعة</w:t>
            </w:r>
          </w:p>
        </w:tc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القرار</w:t>
            </w:r>
          </w:p>
        </w:tc>
        <w:tc>
          <w:tcPr>
            <w:tcW w:type="dxa" w:w="3264"/>
            <w:shd w:fill="163B66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/>
                <w:color w:val="FFFFFF"/>
                <w:sz w:val="21"/>
              </w:rPr>
              <w:t>البند</w:t>
            </w:r>
          </w:p>
        </w:tc>
      </w:tr>
      <w:tr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قيد المتابعة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تنظيم أرشيف المستندات البلدية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1</w:t>
            </w:r>
          </w:p>
        </w:tc>
      </w:tr>
      <w:tr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قيد التحضير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تحديث آلية نشر البيانات الرسمية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2</w:t>
            </w:r>
          </w:p>
        </w:tc>
      </w:tr>
      <w:tr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مرحلة اختبار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تسهيل الوصول إلى الملفات العامة</w:t>
            </w:r>
          </w:p>
        </w:tc>
        <w:tc>
          <w:tcPr>
            <w:tcW w:type="dxa" w:w="3264"/>
            <w:shd w:fill="F8FAFC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3</w:t>
            </w:r>
          </w:p>
        </w:tc>
      </w:tr>
      <w:tr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مسودة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اعتماد نموذج عرض موحد</w:t>
            </w:r>
          </w:p>
        </w:tc>
        <w:tc>
          <w:tcPr>
            <w:tcW w:type="dxa" w:w="3264"/>
            <w:shd w:fill="FFFFFF"/>
            <w:vAlign w:val="center"/>
          </w:tcPr>
          <w:p>
            <w:pPr>
              <w:jc w:val="right"/>
              <w:bidi/>
            </w:pPr>
            <w:r/>
            <w:r>
              <w:rPr>
                <w:rFonts w:ascii="Arial" w:hAnsi="Arial" w:cs="Arial"/>
                <w:b w:val="0"/>
                <w:color w:val="222D46"/>
                <w:sz w:val="21"/>
              </w:rPr>
              <w:t>4</w:t>
            </w:r>
          </w:p>
        </w:tc>
      </w:tr>
    </w:tbl>
    <w:p>
      <w:pPr>
        <w:spacing w:after="0" w:line="264" w:lineRule="auto" w:before="240"/>
        <w:jc w:val="right"/>
        <w:bidi/>
      </w:pPr>
      <w:r>
        <w:rPr>
          <w:rFonts w:ascii="Arial" w:hAnsi="Arial" w:cs="Arial"/>
          <w:b w:val="0"/>
          <w:color w:val="5D6A80"/>
          <w:sz w:val="19"/>
        </w:rPr>
        <w:t>ملاحظة: هذا المستند يحتوي على بيانات تجريبية لاستخدامها في اختبار الموقع فقط.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/>
        <w:color w:val="5D6A80"/>
        <w:sz w:val="18"/>
      </w:rPr>
      <w:t>Generated for website testing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cs="Arial"/>
        <w:color w:val="5D6A80"/>
        <w:sz w:val="18"/>
      </w:rPr>
      <w:t>Municipality of Zahle - Mock Document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